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3118"/>
        <w:gridCol w:w="709"/>
      </w:tblGrid>
      <w:tr w:rsidR="009333BC" w:rsidTr="009333BC" w14:paraId="434EA7B0" w14:textId="77777777"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BC" w:rsidRDefault="009333BC" w14:paraId="419B8996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b/>
                <w:color w:val="595959" w:themeColor="text1" w:themeTint="A6"/>
                <w:szCs w:val="24"/>
              </w:rPr>
            </w:pPr>
            <w:r>
              <w:rPr>
                <w:rFonts w:eastAsia="Times New Roman" w:cstheme="minorHAnsi"/>
                <w:b/>
                <w:color w:val="595959" w:themeColor="text1" w:themeTint="A6"/>
                <w:szCs w:val="24"/>
              </w:rPr>
              <w:t>Name of practitioner: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BC" w:rsidRDefault="009333BC" w14:paraId="06FA16F0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b/>
                <w:color w:val="595959" w:themeColor="text1" w:themeTint="A6"/>
                <w:szCs w:val="24"/>
              </w:rPr>
            </w:pPr>
            <w:r>
              <w:rPr>
                <w:rFonts w:eastAsia="Times New Roman" w:cstheme="minorHAnsi"/>
                <w:b/>
                <w:color w:val="595959" w:themeColor="text1" w:themeTint="A6"/>
                <w:szCs w:val="24"/>
              </w:rPr>
              <w:t>Date:</w:t>
            </w:r>
          </w:p>
        </w:tc>
      </w:tr>
      <w:tr w:rsidR="009333BC" w:rsidTr="009333BC" w14:paraId="6BB94448" w14:textId="77777777"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BC" w:rsidRDefault="009333BC" w14:paraId="3B83F51D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b/>
                <w:color w:val="595959" w:themeColor="text1" w:themeTint="A6"/>
                <w:szCs w:val="24"/>
              </w:rPr>
            </w:pPr>
            <w:r>
              <w:rPr>
                <w:rFonts w:eastAsia="Times New Roman" w:cstheme="minorHAnsi"/>
                <w:b/>
                <w:color w:val="595959" w:themeColor="text1" w:themeTint="A6"/>
                <w:szCs w:val="24"/>
              </w:rPr>
              <w:t>Name of observer: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BC" w:rsidRDefault="009333BC" w14:paraId="505F1BC5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b/>
                <w:color w:val="595959" w:themeColor="text1" w:themeTint="A6"/>
                <w:szCs w:val="24"/>
              </w:rPr>
            </w:pPr>
            <w:r>
              <w:rPr>
                <w:rFonts w:eastAsia="Times New Roman" w:cstheme="minorHAnsi"/>
                <w:b/>
                <w:color w:val="595959" w:themeColor="text1" w:themeTint="A6"/>
                <w:szCs w:val="24"/>
              </w:rPr>
              <w:t>Observation number:</w:t>
            </w:r>
          </w:p>
        </w:tc>
      </w:tr>
      <w:tr w:rsidR="009333BC" w:rsidTr="009333BC" w14:paraId="7FD59E94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24353E32" w14:textId="299FBD56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Treats children sensitively and gets down on their level to converse.</w:t>
            </w:r>
          </w:p>
          <w:p w:rsidRPr="00C802AA" w:rsidR="00C802AA" w:rsidP="00C802AA" w:rsidRDefault="00C802AA" w14:paraId="3D7D77B1" w14:textId="6CB2D8D4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11658CC2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1394CC1D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4512DBDA" w14:textId="7F8906C5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Children who do not talk are not overlooked.</w:t>
            </w:r>
          </w:p>
          <w:p w:rsidRPr="00C802AA" w:rsidR="00C802AA" w:rsidP="00C802AA" w:rsidRDefault="00C802AA" w14:paraId="41318522" w14:textId="4DFB8464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23CD3C73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3305297E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3A1B24FC" w14:textId="3E66A31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Talk is child-centred and based on the child’s need, interests, and activities. Talk follows what the child does and says. The adult listens and respects their contribution by tuning into the child.</w:t>
            </w:r>
          </w:p>
          <w:p w:rsidRPr="00C802AA" w:rsidR="00C802AA" w:rsidP="00C802AA" w:rsidRDefault="00C802AA" w14:paraId="4E674130" w14:textId="56A2AEDC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6A3CA14E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2F800459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478413E4" w14:textId="30FBEF1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Adult secures the child’s attention by saying their name first.</w:t>
            </w:r>
          </w:p>
          <w:p w:rsidRPr="00C802AA" w:rsidR="00C802AA" w:rsidP="00C802AA" w:rsidRDefault="00C802AA" w14:paraId="68159FC9" w14:textId="0209A824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209FDA22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06A61263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6D9ECB0F" w14:textId="7FE0F50F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Adult gives the child plenty of time to respond (e.g. counts up to 20 in their head and is comfortable with silence).</w:t>
            </w:r>
          </w:p>
          <w:p w:rsidRPr="00C802AA" w:rsidR="00C802AA" w:rsidP="00C802AA" w:rsidRDefault="00C802AA" w14:paraId="5D33946F" w14:textId="64E62ED0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1ED258D1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70C05F62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0C4E5CA4" w14:textId="3544C72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Adult does not bombard child with questions. When questions are asked, they are open-ended and encourage the child to think.</w:t>
            </w:r>
          </w:p>
          <w:p w:rsidRPr="00C802AA" w:rsidR="00C802AA" w:rsidP="00C802AA" w:rsidRDefault="00C802AA" w14:paraId="2C1C05E1" w14:textId="53AC192B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4A1A5F21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0924826D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044BB1DA" w14:textId="66F2B48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Adult does not correct mistakes but ‘recasts’ what the child has said, adding another comment (e.g. ‘Child: I goed to the shops. Adult: You went to the shops. I like buying apples at the shops’).</w:t>
            </w:r>
          </w:p>
          <w:p w:rsidRPr="00C802AA" w:rsidR="00C802AA" w:rsidP="00C802AA" w:rsidRDefault="00C802AA" w14:paraId="1F18301C" w14:textId="279117D3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7DFA5F3C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76E2883B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7091CAF7" w14:textId="24244C9C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The adult expands the child’s talk at the right level for their development (e.g. one extra word for young talkers – ‘Child: A ball Adult: A red ball’).</w:t>
            </w:r>
          </w:p>
          <w:p w:rsidRPr="00C802AA" w:rsidR="00C802AA" w:rsidP="00C802AA" w:rsidRDefault="00C802AA" w14:paraId="58AC4C5D" w14:textId="48E0BBCF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64FA7189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718A6A11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07A8CA46" w14:textId="71648A36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Adult offers open comments on child’s play.</w:t>
            </w:r>
          </w:p>
          <w:p w:rsidRPr="00C802AA" w:rsidR="00C802AA" w:rsidP="00C802AA" w:rsidRDefault="00C802AA" w14:paraId="6B913C1D" w14:textId="712A87CD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3DBC07F7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79E55A3F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50B2DFE0" w14:textId="79437AB9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Talk is embedded in the routines of the setting (e.g. at tidy-up time, lunch time, in the bathroom, home time, etc.)</w:t>
            </w:r>
          </w:p>
          <w:p w:rsidRPr="00C802AA" w:rsidR="00C802AA" w:rsidP="00C802AA" w:rsidRDefault="00C802AA" w14:paraId="6613F81F" w14:textId="4D3A4D43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2722B779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  <w:tr w:rsidR="009333BC" w:rsidTr="009333BC" w14:paraId="0E0B7048" w14:textId="77777777">
        <w:tc>
          <w:tcPr>
            <w:tcW w:w="8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02AA" w:rsidR="009333BC" w:rsidP="00C802AA" w:rsidRDefault="009333BC" w14:paraId="0027E9C3" w14:textId="163F897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  <w:r w:rsidRPr="00C802AA">
              <w:rPr>
                <w:rFonts w:eastAsia="Times New Roman" w:cstheme="minorHAnsi"/>
                <w:color w:val="595959" w:themeColor="text1" w:themeTint="A6"/>
                <w:szCs w:val="24"/>
              </w:rPr>
              <w:t>Adult shows awareness of children with EAL and SEN and gives them good visual clues and more time to respond.</w:t>
            </w:r>
          </w:p>
          <w:p w:rsidRPr="00C802AA" w:rsidR="00C802AA" w:rsidP="00C802AA" w:rsidRDefault="00C802AA" w14:paraId="6EC4130D" w14:textId="5AD6DEA3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BC" w:rsidRDefault="009333BC" w14:paraId="731BD6C6" w14:textId="77777777">
            <w:pPr>
              <w:suppressAutoHyphens/>
              <w:autoSpaceDN w:val="0"/>
              <w:spacing w:before="100" w:beforeAutospacing="1" w:after="100" w:afterAutospacing="1"/>
              <w:rPr>
                <w:rFonts w:eastAsia="Times New Roman" w:cstheme="minorHAnsi"/>
                <w:color w:val="595959" w:themeColor="text1" w:themeTint="A6"/>
                <w:szCs w:val="24"/>
              </w:rPr>
            </w:pPr>
          </w:p>
        </w:tc>
      </w:tr>
    </w:tbl>
    <w:p w:rsidR="00120E69" w:rsidRDefault="00120E69" w14:paraId="67DF217E" w14:textId="77777777"/>
    <w:sectPr w:rsidR="0012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6E69" w14:textId="77777777" w:rsidR="009333BC" w:rsidRDefault="009333BC" w:rsidP="009333BC">
      <w:pPr>
        <w:spacing w:after="0" w:line="240" w:lineRule="auto"/>
      </w:pPr>
      <w:r>
        <w:separator/>
      </w:r>
    </w:p>
  </w:endnote>
  <w:endnote w:type="continuationSeparator" w:id="0">
    <w:p w14:paraId="57F0485D" w14:textId="77777777" w:rsidR="009333BC" w:rsidRDefault="009333BC" w:rsidP="0093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FF28" w14:textId="77777777" w:rsidR="009333BC" w:rsidRDefault="009333BC" w:rsidP="009333BC">
      <w:pPr>
        <w:spacing w:after="0" w:line="240" w:lineRule="auto"/>
      </w:pPr>
      <w:r>
        <w:separator/>
      </w:r>
    </w:p>
  </w:footnote>
  <w:footnote w:type="continuationSeparator" w:id="0">
    <w:p w14:paraId="579AA53A" w14:textId="77777777" w:rsidR="009333BC" w:rsidRDefault="009333BC" w:rsidP="0093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67CDE"/>
    <w:multiLevelType w:val="hybridMultilevel"/>
    <w:tmpl w:val="39A28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38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BC"/>
    <w:rsid w:val="00120E69"/>
    <w:rsid w:val="009333BC"/>
    <w:rsid w:val="00C15924"/>
    <w:rsid w:val="00C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494C1"/>
  <w15:chartTrackingRefBased/>
  <w15:docId w15:val="{0B45213B-380E-432F-9091-FC106991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BC"/>
    <w:pPr>
      <w:spacing w:after="120" w:line="254" w:lineRule="auto"/>
    </w:pPr>
    <w:rPr>
      <w:sz w:val="24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City of London Corporation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Format - Draft Autumn 22 (002)</dc:title>
  <dc:subject>
  </dc:subject>
  <dc:creator>Welch, Verity</dc:creator>
  <cp:keywords>
  </cp:keywords>
  <dc:description>
  </dc:description>
  <cp:lastModifiedBy>Verity Welch</cp:lastModifiedBy>
  <cp:revision>2</cp:revision>
  <cp:lastPrinted>2022-12-09T09:50:00Z</cp:lastPrinted>
  <dcterms:created xsi:type="dcterms:W3CDTF">2022-12-19T16:58:00Z</dcterms:created>
  <dcterms:modified xsi:type="dcterms:W3CDTF">2023-04-18T08:27:45Z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2022-11-07T11:24:37Z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fe3fce03-d8f3-4a26-ae9e-27f30655864d</vt:lpwstr>
  </property>
  <property fmtid="{D5CDD505-2E9C-101B-9397-08002B2CF9AE}" pid="8" name="MSIP_Label_8eca86e8-6fb5-45dd-bb08-a8d185fa5301_ContentBits">
    <vt:lpwstr>0</vt:lpwstr>
  </property>
  <property fmtid="{D5CDD505-2E9C-101B-9397-08002B2CF9AE}" pid="9" name="GrammarlyDocumentId">
    <vt:lpwstr>ac9dcf2a-91d6-457f-ad0a-8ad3bccb59d7</vt:lpwstr>
  </property>
</Properties>
</file>