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3118"/>
        <w:gridCol w:w="709"/>
      </w:tblGrid>
      <w:tr w:rsidR="009333BC" w:rsidTr="009333BC" w14:paraId="434EA7B0" w14:textId="77777777"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BC" w:rsidRDefault="009333BC" w14:paraId="419B8996" w14:textId="77777777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b/>
                <w:color w:val="595959" w:themeColor="text1" w:themeTint="A6"/>
                <w:szCs w:val="24"/>
              </w:rPr>
            </w:pPr>
            <w:r>
              <w:rPr>
                <w:rFonts w:eastAsia="Times New Roman" w:cstheme="minorHAnsi"/>
                <w:b/>
                <w:color w:val="595959" w:themeColor="text1" w:themeTint="A6"/>
                <w:szCs w:val="24"/>
              </w:rPr>
              <w:t>Name of practitioner: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BC" w:rsidRDefault="009333BC" w14:paraId="06FA16F0" w14:textId="77777777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b/>
                <w:color w:val="595959" w:themeColor="text1" w:themeTint="A6"/>
                <w:szCs w:val="24"/>
              </w:rPr>
            </w:pPr>
            <w:r>
              <w:rPr>
                <w:rFonts w:eastAsia="Times New Roman" w:cstheme="minorHAnsi"/>
                <w:b/>
                <w:color w:val="595959" w:themeColor="text1" w:themeTint="A6"/>
                <w:szCs w:val="24"/>
              </w:rPr>
              <w:t>Date:</w:t>
            </w:r>
          </w:p>
        </w:tc>
      </w:tr>
      <w:tr w:rsidR="009333BC" w:rsidTr="009333BC" w14:paraId="6BB94448" w14:textId="77777777"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BC" w:rsidRDefault="009333BC" w14:paraId="3B83F51D" w14:textId="77777777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b/>
                <w:color w:val="595959" w:themeColor="text1" w:themeTint="A6"/>
                <w:szCs w:val="24"/>
              </w:rPr>
            </w:pPr>
            <w:r>
              <w:rPr>
                <w:rFonts w:eastAsia="Times New Roman" w:cstheme="minorHAnsi"/>
                <w:b/>
                <w:color w:val="595959" w:themeColor="text1" w:themeTint="A6"/>
                <w:szCs w:val="24"/>
              </w:rPr>
              <w:t>Name of observer: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BC" w:rsidRDefault="009333BC" w14:paraId="505F1BC5" w14:textId="77777777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b/>
                <w:color w:val="595959" w:themeColor="text1" w:themeTint="A6"/>
                <w:szCs w:val="24"/>
              </w:rPr>
            </w:pPr>
            <w:r>
              <w:rPr>
                <w:rFonts w:eastAsia="Times New Roman" w:cstheme="minorHAnsi"/>
                <w:b/>
                <w:color w:val="595959" w:themeColor="text1" w:themeTint="A6"/>
                <w:szCs w:val="24"/>
              </w:rPr>
              <w:t>Observation number:</w:t>
            </w:r>
          </w:p>
        </w:tc>
      </w:tr>
      <w:tr w:rsidR="009333BC" w:rsidTr="009333BC" w14:paraId="7FD59E94" w14:textId="77777777"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802AA" w:rsidR="009333BC" w:rsidP="00C802AA" w:rsidRDefault="009333BC" w14:paraId="24353E32" w14:textId="299FBD56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  <w:r w:rsidRPr="00C802AA">
              <w:rPr>
                <w:rFonts w:eastAsia="Times New Roman" w:cstheme="minorHAnsi"/>
                <w:color w:val="595959" w:themeColor="text1" w:themeTint="A6"/>
                <w:szCs w:val="24"/>
              </w:rPr>
              <w:t>Treats children sensitively and gets down on their level to converse.</w:t>
            </w:r>
          </w:p>
          <w:p w:rsidRPr="00C802AA" w:rsidR="00C802AA" w:rsidP="00C802AA" w:rsidRDefault="00C802AA" w14:paraId="3D7D77B1" w14:textId="6CB2D8D4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3BC" w:rsidRDefault="009333BC" w14:paraId="11658CC2" w14:textId="77777777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</w:tr>
      <w:tr w:rsidR="009333BC" w:rsidTr="009333BC" w14:paraId="1394CC1D" w14:textId="77777777"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802AA" w:rsidR="009333BC" w:rsidP="00C802AA" w:rsidRDefault="009333BC" w14:paraId="4512DBDA" w14:textId="7F8906C5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  <w:r w:rsidRPr="00C802AA">
              <w:rPr>
                <w:rFonts w:eastAsia="Times New Roman" w:cstheme="minorHAnsi"/>
                <w:color w:val="595959" w:themeColor="text1" w:themeTint="A6"/>
                <w:szCs w:val="24"/>
              </w:rPr>
              <w:t>Children who do not talk are not overlooked.</w:t>
            </w:r>
          </w:p>
          <w:p w:rsidRPr="00C802AA" w:rsidR="00C802AA" w:rsidP="00C802AA" w:rsidRDefault="00C802AA" w14:paraId="41318522" w14:textId="4DFB8464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3BC" w:rsidRDefault="009333BC" w14:paraId="23CD3C73" w14:textId="77777777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</w:tr>
      <w:tr w:rsidR="009333BC" w:rsidTr="009333BC" w14:paraId="3305297E" w14:textId="77777777"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802AA" w:rsidR="009333BC" w:rsidP="00C802AA" w:rsidRDefault="009333BC" w14:paraId="3A1B24FC" w14:textId="3E66A31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  <w:r w:rsidRPr="00C802AA">
              <w:rPr>
                <w:rFonts w:eastAsia="Times New Roman" w:cstheme="minorHAnsi"/>
                <w:color w:val="595959" w:themeColor="text1" w:themeTint="A6"/>
                <w:szCs w:val="24"/>
              </w:rPr>
              <w:t>Talk is child-centred and based on the child’s need, interests, and activities. Talk follows what the child does and says. The adult listens and respects their contribution by tuning into the child.</w:t>
            </w:r>
          </w:p>
          <w:p w:rsidRPr="00C802AA" w:rsidR="00C802AA" w:rsidP="00C802AA" w:rsidRDefault="00C802AA" w14:paraId="4E674130" w14:textId="56A2AEDC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3BC" w:rsidRDefault="009333BC" w14:paraId="6A3CA14E" w14:textId="77777777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</w:tr>
      <w:tr w:rsidR="009333BC" w:rsidTr="009333BC" w14:paraId="2F800459" w14:textId="77777777"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802AA" w:rsidR="009333BC" w:rsidP="00C802AA" w:rsidRDefault="009333BC" w14:paraId="478413E4" w14:textId="30FBEF1E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  <w:r w:rsidRPr="00C802AA">
              <w:rPr>
                <w:rFonts w:eastAsia="Times New Roman" w:cstheme="minorHAnsi"/>
                <w:color w:val="595959" w:themeColor="text1" w:themeTint="A6"/>
                <w:szCs w:val="24"/>
              </w:rPr>
              <w:t>Adult secures the child’s attention by saying their name first.</w:t>
            </w:r>
          </w:p>
          <w:p w:rsidRPr="00C802AA" w:rsidR="00C802AA" w:rsidP="00C802AA" w:rsidRDefault="00C802AA" w14:paraId="68159FC9" w14:textId="0209A824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3BC" w:rsidRDefault="009333BC" w14:paraId="209FDA22" w14:textId="77777777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</w:tr>
      <w:tr w:rsidR="009333BC" w:rsidTr="009333BC" w14:paraId="06A61263" w14:textId="77777777"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802AA" w:rsidR="009333BC" w:rsidP="00C802AA" w:rsidRDefault="009333BC" w14:paraId="6D9ECB0F" w14:textId="7FE0F50F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  <w:r w:rsidRPr="00C802AA">
              <w:rPr>
                <w:rFonts w:eastAsia="Times New Roman" w:cstheme="minorHAnsi"/>
                <w:color w:val="595959" w:themeColor="text1" w:themeTint="A6"/>
                <w:szCs w:val="24"/>
              </w:rPr>
              <w:t>Adult gives the child plenty of time to respond (e.g. counts up to 20 in their head and is comfortable with silence).</w:t>
            </w:r>
          </w:p>
          <w:p w:rsidRPr="00C802AA" w:rsidR="00C802AA" w:rsidP="00C802AA" w:rsidRDefault="00C802AA" w14:paraId="5D33946F" w14:textId="64E62ED0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3BC" w:rsidRDefault="009333BC" w14:paraId="1ED258D1" w14:textId="77777777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</w:tr>
      <w:tr w:rsidR="009333BC" w:rsidTr="009333BC" w14:paraId="70C05F62" w14:textId="77777777"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802AA" w:rsidR="009333BC" w:rsidP="00C802AA" w:rsidRDefault="009333BC" w14:paraId="0C4E5CA4" w14:textId="3544C72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  <w:r w:rsidRPr="00C802AA">
              <w:rPr>
                <w:rFonts w:eastAsia="Times New Roman" w:cstheme="minorHAnsi"/>
                <w:color w:val="595959" w:themeColor="text1" w:themeTint="A6"/>
                <w:szCs w:val="24"/>
              </w:rPr>
              <w:t>Adult does not bombard child with questions. When questions are asked, they are open-ended and encourage the child to think.</w:t>
            </w:r>
          </w:p>
          <w:p w:rsidRPr="00C802AA" w:rsidR="00C802AA" w:rsidP="00C802AA" w:rsidRDefault="00C802AA" w14:paraId="2C1C05E1" w14:textId="53AC192B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3BC" w:rsidRDefault="009333BC" w14:paraId="4A1A5F21" w14:textId="77777777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</w:tr>
      <w:tr w:rsidR="009333BC" w:rsidTr="009333BC" w14:paraId="0924826D" w14:textId="77777777"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802AA" w:rsidR="009333BC" w:rsidP="00C802AA" w:rsidRDefault="009333BC" w14:paraId="044BB1DA" w14:textId="66F2B48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  <w:r w:rsidRPr="00C802AA">
              <w:rPr>
                <w:rFonts w:eastAsia="Times New Roman" w:cstheme="minorHAnsi"/>
                <w:color w:val="595959" w:themeColor="text1" w:themeTint="A6"/>
                <w:szCs w:val="24"/>
              </w:rPr>
              <w:t>Adult does not correct mistakes but ‘recasts’ what the child has said, adding another comment (e.g. ‘Child: I goed to the shops. Adult: You went to the shops. I like buying apples at the shops’).</w:t>
            </w:r>
          </w:p>
          <w:p w:rsidRPr="00C802AA" w:rsidR="00C802AA" w:rsidP="00C802AA" w:rsidRDefault="00C802AA" w14:paraId="1F18301C" w14:textId="279117D3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3BC" w:rsidRDefault="009333BC" w14:paraId="7DFA5F3C" w14:textId="77777777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</w:tr>
      <w:tr w:rsidR="009333BC" w:rsidTr="009333BC" w14:paraId="76E2883B" w14:textId="77777777"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802AA" w:rsidR="009333BC" w:rsidP="00C802AA" w:rsidRDefault="009333BC" w14:paraId="7091CAF7" w14:textId="24244C9C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  <w:r w:rsidRPr="00C802AA">
              <w:rPr>
                <w:rFonts w:eastAsia="Times New Roman" w:cstheme="minorHAnsi"/>
                <w:color w:val="595959" w:themeColor="text1" w:themeTint="A6"/>
                <w:szCs w:val="24"/>
              </w:rPr>
              <w:t>The adult expands the child’s talk at the right level for their development (e.g. one extra word for young talkers – ‘Child: A ball Adult: A red ball’).</w:t>
            </w:r>
          </w:p>
          <w:p w:rsidRPr="00C802AA" w:rsidR="00C802AA" w:rsidP="00C802AA" w:rsidRDefault="00C802AA" w14:paraId="58AC4C5D" w14:textId="48E0BBCF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3BC" w:rsidRDefault="009333BC" w14:paraId="64FA7189" w14:textId="77777777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</w:tr>
      <w:tr w:rsidR="009333BC" w:rsidTr="009333BC" w14:paraId="718A6A11" w14:textId="77777777"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802AA" w:rsidR="009333BC" w:rsidP="00C802AA" w:rsidRDefault="009333BC" w14:paraId="07A8CA46" w14:textId="71648A36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  <w:r w:rsidRPr="00C802AA">
              <w:rPr>
                <w:rFonts w:eastAsia="Times New Roman" w:cstheme="minorHAnsi"/>
                <w:color w:val="595959" w:themeColor="text1" w:themeTint="A6"/>
                <w:szCs w:val="24"/>
              </w:rPr>
              <w:t>Adult offers open comments on child’s play.</w:t>
            </w:r>
          </w:p>
          <w:p w:rsidRPr="00C802AA" w:rsidR="00C802AA" w:rsidP="00C802AA" w:rsidRDefault="00C802AA" w14:paraId="6B913C1D" w14:textId="712A87CD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3BC" w:rsidRDefault="009333BC" w14:paraId="3DBC07F7" w14:textId="77777777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</w:tr>
      <w:tr w:rsidR="009333BC" w:rsidTr="009333BC" w14:paraId="79E55A3F" w14:textId="77777777"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802AA" w:rsidR="009333BC" w:rsidP="00C802AA" w:rsidRDefault="009333BC" w14:paraId="50B2DFE0" w14:textId="79437AB9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  <w:r w:rsidRPr="00C802AA">
              <w:rPr>
                <w:rFonts w:eastAsia="Times New Roman" w:cstheme="minorHAnsi"/>
                <w:color w:val="595959" w:themeColor="text1" w:themeTint="A6"/>
                <w:szCs w:val="24"/>
              </w:rPr>
              <w:t>Talk is embedded in the routines of the setting (e.g. at tidy-up time, lunch time, in the bathroom, home time, etc.)</w:t>
            </w:r>
          </w:p>
          <w:p w:rsidRPr="00C802AA" w:rsidR="00C802AA" w:rsidP="00C802AA" w:rsidRDefault="00C802AA" w14:paraId="6613F81F" w14:textId="4D3A4D43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3BC" w:rsidRDefault="009333BC" w14:paraId="2722B779" w14:textId="77777777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</w:tr>
      <w:tr w:rsidR="009333BC" w:rsidTr="009333BC" w14:paraId="0E0B7048" w14:textId="77777777">
        <w:tc>
          <w:tcPr>
            <w:tcW w:w="8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802AA" w:rsidR="009333BC" w:rsidP="00C802AA" w:rsidRDefault="009333BC" w14:paraId="0027E9C3" w14:textId="163F897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  <w:r w:rsidRPr="00C802AA">
              <w:rPr>
                <w:rFonts w:eastAsia="Times New Roman" w:cstheme="minorHAnsi"/>
                <w:color w:val="595959" w:themeColor="text1" w:themeTint="A6"/>
                <w:szCs w:val="24"/>
              </w:rPr>
              <w:t>Adult shows awareness of children with EAL and SEN and gives them good visual clues and more time to respond.</w:t>
            </w:r>
          </w:p>
          <w:p w:rsidRPr="00C802AA" w:rsidR="00C802AA" w:rsidP="00C802AA" w:rsidRDefault="00C802AA" w14:paraId="6EC4130D" w14:textId="5AD6DEA3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3BC" w:rsidRDefault="009333BC" w14:paraId="731BD6C6" w14:textId="77777777">
            <w:pPr>
              <w:suppressAutoHyphens/>
              <w:autoSpaceDN w:val="0"/>
              <w:spacing w:before="100" w:beforeAutospacing="1" w:after="100" w:afterAutospacing="1"/>
              <w:rPr>
                <w:rFonts w:eastAsia="Times New Roman" w:cstheme="minorHAnsi"/>
                <w:color w:val="595959" w:themeColor="text1" w:themeTint="A6"/>
                <w:szCs w:val="24"/>
              </w:rPr>
            </w:pPr>
          </w:p>
        </w:tc>
      </w:tr>
    </w:tbl>
    <w:p w:rsidR="00120E69" w:rsidRDefault="00120E69" w14:paraId="67DF217E" w14:textId="77777777"/>
    <w:sectPr w:rsidR="00120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6E69" w14:textId="77777777" w:rsidR="009333BC" w:rsidRDefault="009333BC" w:rsidP="009333BC">
      <w:pPr>
        <w:spacing w:after="0" w:line="240" w:lineRule="auto"/>
      </w:pPr>
      <w:r>
        <w:separator/>
      </w:r>
    </w:p>
  </w:endnote>
  <w:endnote w:type="continuationSeparator" w:id="0">
    <w:p w14:paraId="57F0485D" w14:textId="77777777" w:rsidR="009333BC" w:rsidRDefault="009333BC" w:rsidP="0093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FF28" w14:textId="77777777" w:rsidR="009333BC" w:rsidRDefault="009333BC" w:rsidP="009333BC">
      <w:pPr>
        <w:spacing w:after="0" w:line="240" w:lineRule="auto"/>
      </w:pPr>
      <w:r>
        <w:separator/>
      </w:r>
    </w:p>
  </w:footnote>
  <w:footnote w:type="continuationSeparator" w:id="0">
    <w:p w14:paraId="579AA53A" w14:textId="77777777" w:rsidR="009333BC" w:rsidRDefault="009333BC" w:rsidP="0093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67CDE"/>
    <w:multiLevelType w:val="hybridMultilevel"/>
    <w:tmpl w:val="39A28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38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BC"/>
    <w:rsid w:val="00120E69"/>
    <w:rsid w:val="009333BC"/>
    <w:rsid w:val="00C15924"/>
    <w:rsid w:val="00C8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494C1"/>
  <w15:chartTrackingRefBased/>
  <w15:docId w15:val="{0B45213B-380E-432F-9091-FC106991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3BC"/>
    <w:pPr>
      <w:spacing w:after="120" w:line="254" w:lineRule="auto"/>
    </w:pPr>
    <w:rPr>
      <w:sz w:val="24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>City of London Corporation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Format - Draft Autumn 22 (002)</dc:title>
  <dc:subject>
  </dc:subject>
  <dc:creator>Welch, Verity</dc:creator>
  <cp:keywords>
  </cp:keywords>
  <dc:description>
  </dc:description>
  <cp:lastModifiedBy>Verity Welch</cp:lastModifiedBy>
  <cp:revision>2</cp:revision>
  <cp:lastPrinted>2022-12-09T09:50:00Z</cp:lastPrinted>
  <dcterms:created xsi:type="dcterms:W3CDTF">2022-12-19T16:58:00Z</dcterms:created>
  <dcterms:modified xsi:type="dcterms:W3CDTF">2023-04-18T08:27:45Z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ca86e8-6fb5-45dd-bb08-a8d185fa5301_Enabled">
    <vt:lpwstr>true</vt:lpwstr>
  </property>
  <property fmtid="{D5CDD505-2E9C-101B-9397-08002B2CF9AE}" pid="3" name="MSIP_Label_8eca86e8-6fb5-45dd-bb08-a8d185fa5301_SetDate">
    <vt:lpwstr>2022-11-07T11:24:37Z</vt:lpwstr>
  </property>
  <property fmtid="{D5CDD505-2E9C-101B-9397-08002B2CF9AE}" pid="4" name="MSIP_Label_8eca86e8-6fb5-45dd-bb08-a8d185fa5301_Method">
    <vt:lpwstr>Standard</vt:lpwstr>
  </property>
  <property fmtid="{D5CDD505-2E9C-101B-9397-08002B2CF9AE}" pid="5" name="MSIP_Label_8eca86e8-6fb5-45dd-bb08-a8d185fa5301_Name">
    <vt:lpwstr>Official</vt:lpwstr>
  </property>
  <property fmtid="{D5CDD505-2E9C-101B-9397-08002B2CF9AE}" pid="6" name="MSIP_Label_8eca86e8-6fb5-45dd-bb08-a8d185fa5301_SiteId">
    <vt:lpwstr>9fe658cd-b3cd-4056-8519-3222ffa96be8</vt:lpwstr>
  </property>
  <property fmtid="{D5CDD505-2E9C-101B-9397-08002B2CF9AE}" pid="7" name="MSIP_Label_8eca86e8-6fb5-45dd-bb08-a8d185fa5301_ActionId">
    <vt:lpwstr>fe3fce03-d8f3-4a26-ae9e-27f30655864d</vt:lpwstr>
  </property>
  <property fmtid="{D5CDD505-2E9C-101B-9397-08002B2CF9AE}" pid="8" name="MSIP_Label_8eca86e8-6fb5-45dd-bb08-a8d185fa5301_ContentBits">
    <vt:lpwstr>0</vt:lpwstr>
  </property>
  <property fmtid="{D5CDD505-2E9C-101B-9397-08002B2CF9AE}" pid="9" name="GrammarlyDocumentId">
    <vt:lpwstr>ac9dcf2a-91d6-457f-ad0a-8ad3bccb59d7</vt:lpwstr>
  </property>
</Properties>
</file>